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9E779" w14:textId="51FE1BAA" w:rsidR="006C571A" w:rsidRPr="006C571A" w:rsidRDefault="006C571A" w:rsidP="006C571A">
      <w:pPr>
        <w:rPr>
          <w:b/>
          <w:bCs/>
          <w:lang w:val="en-US"/>
        </w:rPr>
      </w:pPr>
      <w:r w:rsidRPr="006C571A">
        <w:rPr>
          <w:b/>
          <w:bCs/>
          <w:lang w:val="en-US"/>
        </w:rPr>
        <w:t>Comparative impact analysis of low-deductible insurance vs in-house hospital</w:t>
      </w:r>
      <w:r>
        <w:rPr>
          <w:b/>
          <w:bCs/>
          <w:lang w:val="en-US"/>
        </w:rPr>
        <w:t xml:space="preserve"> </w:t>
      </w:r>
      <w:r w:rsidRPr="006C571A">
        <w:rPr>
          <w:b/>
          <w:bCs/>
          <w:lang w:val="en-US"/>
        </w:rPr>
        <w:t>assumption of risk and management on medical malpractice claims</w:t>
      </w:r>
    </w:p>
    <w:p w14:paraId="7DB1CD18" w14:textId="77777777" w:rsidR="006C571A" w:rsidRDefault="006C571A" w:rsidP="006C571A">
      <w:r w:rsidRPr="006C571A">
        <w:rPr>
          <w:lang w:val="en-US"/>
        </w:rPr>
        <w:cr/>
      </w:r>
      <w:r>
        <w:t xml:space="preserve">Autori: Giuseppe </w:t>
      </w:r>
      <w:proofErr w:type="spellStart"/>
      <w:r>
        <w:t>Vetrugno</w:t>
      </w:r>
      <w:proofErr w:type="spellEnd"/>
      <w:r>
        <w:t xml:space="preserve">, </w:t>
      </w:r>
      <w:r w:rsidRPr="00D75DA5">
        <w:rPr>
          <w:b/>
          <w:bCs/>
        </w:rPr>
        <w:t>Simone Grassi</w:t>
      </w:r>
      <w:r>
        <w:t xml:space="preserve">, Federica </w:t>
      </w:r>
      <w:proofErr w:type="spellStart"/>
      <w:r>
        <w:t>Foti</w:t>
      </w:r>
      <w:proofErr w:type="spellEnd"/>
      <w:r>
        <w:t xml:space="preserve">, Chiara </w:t>
      </w:r>
      <w:proofErr w:type="spellStart"/>
      <w:r>
        <w:t>Siodambro</w:t>
      </w:r>
      <w:proofErr w:type="spellEnd"/>
      <w:r>
        <w:t xml:space="preserve">, Vincenzo M. Grassi, Celeste Conte, Renato </w:t>
      </w:r>
      <w:proofErr w:type="spellStart"/>
      <w:r>
        <w:t>Ghisellini</w:t>
      </w:r>
      <w:proofErr w:type="spellEnd"/>
      <w:r>
        <w:t xml:space="preserve">, Fabio De-Giorgio, Francesco Ausania, Francesca Cittadini, Riccardo Rossi, </w:t>
      </w:r>
      <w:r w:rsidRPr="00D75DA5">
        <w:rPr>
          <w:b/>
          <w:bCs/>
        </w:rPr>
        <w:t>Gabriele Della Morte, Matteo Caputo</w:t>
      </w:r>
      <w:r>
        <w:t xml:space="preserve">, Vincenzo L. </w:t>
      </w:r>
      <w:proofErr w:type="spellStart"/>
      <w:r>
        <w:t>Pascali</w:t>
      </w:r>
      <w:proofErr w:type="spellEnd"/>
      <w:r>
        <w:t xml:space="preserve">, Al </w:t>
      </w:r>
      <w:proofErr w:type="spellStart"/>
      <w:r>
        <w:t>Ozonoff</w:t>
      </w:r>
      <w:proofErr w:type="spellEnd"/>
      <w:r>
        <w:t xml:space="preserve">, </w:t>
      </w:r>
      <w:r w:rsidRPr="00D75DA5">
        <w:rPr>
          <w:b/>
          <w:bCs/>
        </w:rPr>
        <w:t>Antonio Oliva</w:t>
      </w:r>
    </w:p>
    <w:p w14:paraId="2915FE24" w14:textId="77777777" w:rsidR="006C571A" w:rsidRDefault="006C571A" w:rsidP="006C571A"/>
    <w:p w14:paraId="4BC37E9F" w14:textId="77777777" w:rsidR="006C571A" w:rsidRDefault="006C571A" w:rsidP="006C571A">
      <w:r>
        <w:t xml:space="preserve">Le strategie di governo del rischio nell’ambito del contenzioso medico-legale sono ben definite nella loro variabilità, estendendosi dalla completa ritenzione del rischio assicurativo all’assicurazione senza franchigia, ma solitamente basate su razionali non ben chiari e in assenza, alla luce della letteratura scientifica, di evidenze di analisi di costo-efficacia. Questo tipo di analisi è storicamente limitata dalla carenza di big data a supporto, della numerosità delle variabili di confondimento e sull’inadeguata rappresentazione dell’incidenza dei sinistri (fattore chiave, inter alia, per la stima delle riserve). Quest’ultima limitazione è frutto anche delle carenze dei flussi tradizionali di </w:t>
      </w:r>
      <w:proofErr w:type="spellStart"/>
      <w:r>
        <w:t>incident</w:t>
      </w:r>
      <w:proofErr w:type="spellEnd"/>
      <w:r>
        <w:t xml:space="preserve"> reporting: in parole semplici, si basa la propria visione della fisiologia aziendale sui soli dati noti (e.g., richieste di risarcimento effettivamente ricevute) senza tenere conto dei sinistri effettivamente verificatosi ma non ancora emersi agli occhi dei </w:t>
      </w:r>
      <w:proofErr w:type="spellStart"/>
      <w:r>
        <w:t>decision</w:t>
      </w:r>
      <w:proofErr w:type="spellEnd"/>
      <w:r>
        <w:t xml:space="preserve">-maker aziendali (i cd IBNR). Gli IBNR hanno però un forte impatto sull’incidenza e sui costi della sinistrosità, che sono le variabili di interesse per le scelte strategiche aziendali in questo ambito. Nell’ambito dei lavori del sottogruppo “Algoritmi e gestione sanitaria”, il gruppo di ricerca ha ottenuto un’evidenza sperimentale (pubblicata sul prestigioso giornale Journal of </w:t>
      </w:r>
      <w:proofErr w:type="spellStart"/>
      <w:r>
        <w:t>Patient</w:t>
      </w:r>
      <w:proofErr w:type="spellEnd"/>
      <w:r>
        <w:t xml:space="preserve"> </w:t>
      </w:r>
      <w:proofErr w:type="spellStart"/>
      <w:r>
        <w:t>Safety</w:t>
      </w:r>
      <w:proofErr w:type="spellEnd"/>
      <w:r>
        <w:t xml:space="preserve">), prima in ambito internazionale, su come strutture algoritmiche che sulla base dell’analisi di un campione di big data relativi al contenzioso di struttura possano, predicendo gli IBNR attraverso piattaforme digitali di predizione attuariale, restituire una stima effettiva dell’impatto delle scelte di governo del rischio medico-legale in termini di incidenza e costo della sinistrosità. In particolare, attraverso la predizione algoritmica, è stato dimostrato che nello scenario economico attuale l’unica scelta sostenibile è quella di una sostanziale ritenzione del rischio, al netto dei sinistri cd catastrofali, ovvero di importo non ordinario (e non rientranti, quindi, in schemi ordinari di predizione). </w:t>
      </w:r>
    </w:p>
    <w:p w14:paraId="25DD87E9" w14:textId="77777777" w:rsidR="003128FB" w:rsidRDefault="003128FB"/>
    <w:sectPr w:rsidR="00312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Corpo CS)">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1A"/>
    <w:rsid w:val="003128FB"/>
    <w:rsid w:val="006C571A"/>
    <w:rsid w:val="00AD7069"/>
  </w:rsids>
  <m:mathPr>
    <m:mathFont m:val="Cambria Math"/>
    <m:brkBin m:val="before"/>
    <m:brkBinSub m:val="--"/>
    <m:smallFrac m:val="0"/>
    <m:dispDef/>
    <m:lMargin m:val="0"/>
    <m:rMargin m:val="0"/>
    <m:defJc m:val="centerGroup"/>
    <m:wrapIndent m:val="1440"/>
    <m:intLim m:val="subSup"/>
    <m:naryLim m:val="undOvr"/>
  </m:mathPr>
  <w:themeFontLang w:val="it-GB"/>
  <w:clrSchemeMapping w:bg1="light1" w:t1="dark1" w:bg2="light2" w:t2="dark2" w:accent1="accent1" w:accent2="accent2" w:accent3="accent3" w:accent4="accent4" w:accent5="accent5" w:accent6="accent6" w:hyperlink="hyperlink" w:followedHyperlink="followedHyperlink"/>
  <w:decimalSymbol w:val="."/>
  <w:listSeparator w:val=";"/>
  <w14:docId w14:val="38BBAB7D"/>
  <w15:chartTrackingRefBased/>
  <w15:docId w15:val="{F0D408B1-EE9D-C04F-A9D6-BC319FCB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Corpo CS)"/>
        <w:sz w:val="24"/>
        <w:szCs w:val="24"/>
        <w:lang w:val="it-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571A"/>
    <w:pPr>
      <w:spacing w:line="259" w:lineRule="auto"/>
      <w:jc w:val="both"/>
    </w:pPr>
    <w:rPr>
      <w:rFonts w:asciiTheme="minorHAnsi" w:hAnsiTheme="minorHAnsi" w:cstheme="minorBidi"/>
      <w:sz w:val="22"/>
      <w:szCs w:val="22"/>
      <w:lang w:val="it-IT"/>
    </w:rPr>
  </w:style>
  <w:style w:type="paragraph" w:styleId="Titolo1">
    <w:name w:val="heading 1"/>
    <w:basedOn w:val="Normale"/>
    <w:next w:val="Normale"/>
    <w:link w:val="Titolo1Carattere"/>
    <w:uiPriority w:val="9"/>
    <w:qFormat/>
    <w:rsid w:val="00AD7069"/>
    <w:pPr>
      <w:keepNext/>
      <w:keepLines/>
      <w:pageBreakBefore/>
      <w:spacing w:after="1200" w:line="240" w:lineRule="auto"/>
      <w:jc w:val="center"/>
      <w:outlineLvl w:val="0"/>
    </w:pPr>
    <w:rPr>
      <w:rFonts w:ascii="Times New Roman" w:eastAsiaTheme="majorEastAsia" w:hAnsi="Times New Roman" w:cstheme="majorBidi"/>
      <w:b/>
      <w:caps/>
      <w:sz w:val="28"/>
      <w:szCs w:val="32"/>
      <w:lang w:val="fr-FR"/>
    </w:rPr>
  </w:style>
  <w:style w:type="paragraph" w:styleId="Titolo2">
    <w:name w:val="heading 2"/>
    <w:basedOn w:val="Normale"/>
    <w:next w:val="Normale"/>
    <w:link w:val="Titolo2Carattere"/>
    <w:uiPriority w:val="9"/>
    <w:semiHidden/>
    <w:unhideWhenUsed/>
    <w:qFormat/>
    <w:rsid w:val="00AD7069"/>
    <w:pPr>
      <w:keepNext/>
      <w:keepLines/>
      <w:spacing w:before="40" w:line="240" w:lineRule="auto"/>
      <w:jc w:val="left"/>
      <w:outlineLvl w:val="1"/>
    </w:pPr>
    <w:rPr>
      <w:rFonts w:asciiTheme="majorHAnsi" w:eastAsiaTheme="majorEastAsia" w:hAnsiTheme="majorHAnsi" w:cstheme="majorBidi"/>
      <w:color w:val="2F5496" w:themeColor="accent1" w:themeShade="BF"/>
      <w:sz w:val="26"/>
      <w:szCs w:val="26"/>
      <w:lang w:val="it-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7069"/>
    <w:rPr>
      <w:rFonts w:eastAsiaTheme="majorEastAsia" w:cstheme="majorBidi"/>
      <w:b/>
      <w:caps/>
      <w:sz w:val="28"/>
      <w:szCs w:val="32"/>
      <w:lang w:val="fr-FR"/>
    </w:rPr>
  </w:style>
  <w:style w:type="character" w:customStyle="1" w:styleId="Titolo2Carattere">
    <w:name w:val="Titolo 2 Carattere"/>
    <w:basedOn w:val="Carpredefinitoparagrafo"/>
    <w:link w:val="Titolo2"/>
    <w:uiPriority w:val="9"/>
    <w:semiHidden/>
    <w:rsid w:val="00AD7069"/>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AD7069"/>
    <w:pPr>
      <w:spacing w:line="240" w:lineRule="auto"/>
      <w:ind w:left="720"/>
      <w:contextualSpacing/>
      <w:jc w:val="left"/>
    </w:pPr>
    <w:rPr>
      <w:rFonts w:ascii="Times New Roman" w:hAnsi="Times New Roman" w:cs="Times New Roman (Corpo CS)"/>
      <w:sz w:val="24"/>
      <w:szCs w:val="24"/>
      <w:lang w:val="it-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SIRONI DE GREGORIO</dc:creator>
  <cp:keywords/>
  <dc:description/>
  <cp:lastModifiedBy>FRANCESCA SIRONI DE GREGORIO</cp:lastModifiedBy>
  <cp:revision>1</cp:revision>
  <dcterms:created xsi:type="dcterms:W3CDTF">2023-03-17T09:17:00Z</dcterms:created>
  <dcterms:modified xsi:type="dcterms:W3CDTF">2023-03-17T09:17:00Z</dcterms:modified>
</cp:coreProperties>
</file>